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Корпоративные информационные системы</w:t>
            </w:r>
          </w:p>
          <w:p>
            <w:pPr>
              <w:jc w:val="center"/>
              <w:spacing w:after="0" w:line="240" w:lineRule="auto"/>
              <w:rPr>
                <w:sz w:val="32"/>
                <w:szCs w:val="32"/>
              </w:rPr>
            </w:pPr>
            <w:r>
              <w:rPr>
                <w:rFonts w:ascii="Times New Roman" w:hAnsi="Times New Roman" w:cs="Times New Roman"/>
                <w:color w:val="#000000"/>
                <w:sz w:val="32"/>
                <w:szCs w:val="32"/>
              </w:rPr>
              <w:t> Б1.В.01.04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8.3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/Червенчук И.В./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«Корпоративные информационные системы»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Б1.В.01.04 «Корпоративные информационные системы».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«Корпоративные информационные системы»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ПК-10</w:t>
            </w:r>
          </w:p>
          <w:p>
            <w:pPr>
              <w:jc w:val="left"/>
              <w:spacing w:after="0" w:line="240" w:lineRule="auto"/>
              <w:rPr>
                <w:sz w:val="24"/>
                <w:szCs w:val="24"/>
              </w:rPr>
            </w:pPr>
            <w:r>
              <w:rPr>
                <w:rFonts w:ascii="Times New Roman" w:hAnsi="Times New Roman" w:cs="Times New Roman"/>
                <w:b/>
                <w:color w:val="#000000"/>
                <w:sz w:val="24"/>
                <w:szCs w:val="24"/>
              </w:rPr>
              <w:t> Способность осуществлять ведение базы данных и поддержку информационного обеспечения решения прикладных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ИПК-10.1 знать инструменты и методы проектирования,  верификации структур баз данных, возможности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ИПК-10.2 знать предметную область автоматизации, теорию баз данных, источники информации, необходимой для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ИПК-10.3 знать основы бухгалтерского учета и отчетности организаций, основы управленческого учета, основы теории управления, основы управления торговлей, поставками и запасами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ИПК-10.4 уметь применять основы современных систем управления базами данных, применять основы программирования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ИПК-10.5 уметь применять современные объектно-ориентированные, структурные языки программирования, описывать современный отечественный и зарубежный опыт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ИПК-10.6 уметь применять основы управленческого учета, применять основы управления персоналом, включая вопросы оплаты труда, применять основы организационной диагностики, методологию ведения документооборота в организациях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ИПК-10.7 владеть современными методиками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ИПК-10.8 владеть современными инструментами и методами управления организацией, в том числе методы планирования деятельности, распределения поручений, контроля исполнения, принятия решений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ИПК-10.9 владеть инструментами и методами определения финансовых и производственных показателей деятельности организаций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ИПК-10.10 владеть языками современных бизнес-приложений, основами Международных стандартов финансовой отчетности (МСФО)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Способность составлять технико-экономическое обоснование проектных решений и техническое задание на разработку информационной системы</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ИПК-4.1 знать архитектуру, устройство и функционирование вычислительных систем, основы современных операционных систем</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ИПК-4.2 знать основы современных систем управления базами данных, современные структурные языки программирования, языки современных бизнес-приложений</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ИПК-4.3 знать современные стандарты информационного взаимодействия систем, основы теории управления инструменты и методы моделирования бизнес-процессов организации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ИПК-4.4 уметь разрабатывать отраслевую нормативную техническую документацию, оценивать объемы и сроки выполнения работ</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ИПК-4.5 уметь применять современные методики тестирования  разрабатываемых ИС, применять программные средства и платформы инфраструктуры информационных технологий организаций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ИПК-4.6 уметь применять методики описания и моделирования бизнес-процессов, средства моделирования бизнес-процессов, управлять  содержанием проекта: документирование требований, анализ продукта, модерируемые совещания</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ИПК-4.7 владеть методами оценки объемов и сроков выполнения работ, технологиями выполнения работ в организации, навыками работы с устройством и функционированием современных ИС</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ИПК-4.8 владеть системами хранения и анализа баз данных, навыками работы с современными объектно-ориентированными языками программирования</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ИПК-4.9 владеть методами анализа современных подходов и стандартов автоматизации организации (например, CRM, MRP, ERP…, ITIL, ITSM), навыками работы с системами классификации и кодирования информации, в том числе присвоение кодов документам и элементам справочников</w:t>
            </w:r>
          </w:p>
        </w:tc>
      </w:tr>
      <w:tr>
        <w:trPr>
          <w:trHeight w:hRule="exact" w:val="855.541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ИПК-4.10 владеть инструментами и методами определения финансовых и производственных показателей деятельности организаций, навыками работы с основами управления взаимоотношениями с клиентами и заказчиками (CRM)</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Б1.В.01.04 «Корпоративные информационные системы» относится к обязательной части, является дисциплиной Блока Б1. «Дисциплины (модули)». Модуль "Внедрение и эксплуатация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информационных систем</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и технологии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Интеллектуальные информационные системы</w:t>
            </w:r>
          </w:p>
          <w:p>
            <w:pPr>
              <w:jc w:val="center"/>
              <w:spacing w:after="0" w:line="240" w:lineRule="auto"/>
              <w:rPr>
                <w:sz w:val="22"/>
                <w:szCs w:val="22"/>
              </w:rPr>
            </w:pPr>
            <w:r>
              <w:rPr>
                <w:rFonts w:ascii="Times New Roman" w:hAnsi="Times New Roman" w:cs="Times New Roman"/>
                <w:color w:val="#000000"/>
                <w:sz w:val="22"/>
                <w:szCs w:val="22"/>
              </w:rPr>
              <w:t> Офисные технологии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пракимка (преддипломная пракика)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ПК-10, ПК-4</w:t>
            </w:r>
          </w:p>
        </w:tc>
      </w:tr>
      <w:tr>
        <w:trPr>
          <w:trHeight w:hRule="exact" w:val="138.9152"/>
        </w:trPr>
        <w:tc>
          <w:tcPr>
            <w:tcW w:w="3970" w:type="dxa"/>
          </w:tcPr>
          <w:p/>
        </w:tc>
        <w:tc>
          <w:tcPr>
            <w:tcW w:w="4679" w:type="dxa"/>
          </w:tcPr>
          <w:p/>
        </w:tc>
        <w:tc>
          <w:tcPr>
            <w:tcW w:w="993" w:type="dxa"/>
          </w:tcPr>
          <w:p/>
        </w:tc>
      </w:tr>
      <w:tr>
        <w:trPr>
          <w:trHeight w:hRule="exact" w:val="623.133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117</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Архитектура предприятия корпаративного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и функциональная декомпозиция КИС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функциональности и классов приложения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интерфейса пользователя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Функциональная декомпозиция КИС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система управления предприятием корпоративного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и функциональная декомпозиция КИС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Компоненты корпоративных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корпоративного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Проективные внедрения КИС в различных методологиях  (деловая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типовых компонентов КИС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корпоративного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Перспективы развития КИС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и разработка КИС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Корпоративные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34.17"/>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предприятия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архитектурного подхода, методология TOGAF.</w:t>
            </w:r>
          </w:p>
          <w:p>
            <w:pPr>
              <w:jc w:val="both"/>
              <w:spacing w:after="0" w:line="240" w:lineRule="auto"/>
              <w:rPr>
                <w:sz w:val="24"/>
                <w:szCs w:val="24"/>
              </w:rPr>
            </w:pPr>
            <w:r>
              <w:rPr>
                <w:rFonts w:ascii="Times New Roman" w:hAnsi="Times New Roman" w:cs="Times New Roman"/>
                <w:color w:val="#000000"/>
                <w:sz w:val="24"/>
                <w:szCs w:val="24"/>
              </w:rPr>
              <w:t> Функциональное и процессное управление.</w:t>
            </w:r>
          </w:p>
          <w:p>
            <w:pPr>
              <w:jc w:val="both"/>
              <w:spacing w:after="0" w:line="240" w:lineRule="auto"/>
              <w:rPr>
                <w:sz w:val="24"/>
                <w:szCs w:val="24"/>
              </w:rPr>
            </w:pPr>
            <w:r>
              <w:rPr>
                <w:rFonts w:ascii="Times New Roman" w:hAnsi="Times New Roman" w:cs="Times New Roman"/>
                <w:color w:val="#000000"/>
                <w:sz w:val="24"/>
                <w:szCs w:val="24"/>
              </w:rPr>
              <w:t> Система менеджмента качества (СМК).</w:t>
            </w:r>
          </w:p>
          <w:p>
            <w:pPr>
              <w:jc w:val="both"/>
              <w:spacing w:after="0" w:line="240" w:lineRule="auto"/>
              <w:rPr>
                <w:sz w:val="24"/>
                <w:szCs w:val="24"/>
              </w:rPr>
            </w:pPr>
            <w:r>
              <w:rPr>
                <w:rFonts w:ascii="Times New Roman" w:hAnsi="Times New Roman" w:cs="Times New Roman"/>
                <w:color w:val="#000000"/>
                <w:sz w:val="24"/>
                <w:szCs w:val="24"/>
              </w:rPr>
              <w:t> Модель бизнес-процессов предприятия.</w:t>
            </w:r>
          </w:p>
          <w:p>
            <w:pPr>
              <w:jc w:val="both"/>
              <w:spacing w:after="0" w:line="240" w:lineRule="auto"/>
              <w:rPr>
                <w:sz w:val="24"/>
                <w:szCs w:val="24"/>
              </w:rPr>
            </w:pPr>
            <w:r>
              <w:rPr>
                <w:rFonts w:ascii="Times New Roman" w:hAnsi="Times New Roman" w:cs="Times New Roman"/>
                <w:color w:val="#000000"/>
                <w:sz w:val="24"/>
                <w:szCs w:val="24"/>
              </w:rPr>
              <w:t> Определение бизнес-контекста КИС.</w:t>
            </w:r>
          </w:p>
          <w:p>
            <w:pPr>
              <w:jc w:val="both"/>
              <w:spacing w:after="0" w:line="240" w:lineRule="auto"/>
              <w:rPr>
                <w:sz w:val="24"/>
                <w:szCs w:val="24"/>
              </w:rPr>
            </w:pPr>
            <w:r>
              <w:rPr>
                <w:rFonts w:ascii="Times New Roman" w:hAnsi="Times New Roman" w:cs="Times New Roman"/>
                <w:color w:val="#000000"/>
                <w:sz w:val="24"/>
                <w:szCs w:val="24"/>
              </w:rPr>
              <w:t> Производственная компания как объект информационной системы 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и функциональная декомпозиция КИС</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Моделирование функциональности и классов приложения.</w:t>
            </w:r>
          </w:p>
          <w:p>
            <w:pPr>
              <w:jc w:val="both"/>
              <w:spacing w:after="0" w:line="240" w:lineRule="auto"/>
              <w:rPr>
                <w:sz w:val="24"/>
                <w:szCs w:val="24"/>
              </w:rPr>
            </w:pPr>
            <w:r>
              <w:rPr>
                <w:rFonts w:ascii="Times New Roman" w:hAnsi="Times New Roman" w:cs="Times New Roman"/>
                <w:color w:val="#000000"/>
                <w:sz w:val="24"/>
                <w:szCs w:val="24"/>
              </w:rPr>
              <w:t> Планирование итераций.</w:t>
            </w:r>
          </w:p>
          <w:p>
            <w:pPr>
              <w:jc w:val="both"/>
              <w:spacing w:after="0" w:line="240" w:lineRule="auto"/>
              <w:rPr>
                <w:sz w:val="24"/>
                <w:szCs w:val="24"/>
              </w:rPr>
            </w:pPr>
            <w:r>
              <w:rPr>
                <w:rFonts w:ascii="Times New Roman" w:hAnsi="Times New Roman" w:cs="Times New Roman"/>
                <w:color w:val="#000000"/>
                <w:sz w:val="24"/>
                <w:szCs w:val="24"/>
              </w:rPr>
              <w:t> Моделирование интерфейса пользователя.</w:t>
            </w:r>
          </w:p>
          <w:p>
            <w:pPr>
              <w:jc w:val="both"/>
              <w:spacing w:after="0" w:line="240" w:lineRule="auto"/>
              <w:rPr>
                <w:sz w:val="24"/>
                <w:szCs w:val="24"/>
              </w:rPr>
            </w:pPr>
            <w:r>
              <w:rPr>
                <w:rFonts w:ascii="Times New Roman" w:hAnsi="Times New Roman" w:cs="Times New Roman"/>
                <w:color w:val="#000000"/>
                <w:sz w:val="24"/>
                <w:szCs w:val="24"/>
              </w:rPr>
              <w:t> Работа с базой данных в автономном режиме.</w:t>
            </w:r>
          </w:p>
          <w:p>
            <w:pPr>
              <w:jc w:val="both"/>
              <w:spacing w:after="0" w:line="240" w:lineRule="auto"/>
              <w:rPr>
                <w:sz w:val="24"/>
                <w:szCs w:val="24"/>
              </w:rPr>
            </w:pPr>
            <w:r>
              <w:rPr>
                <w:rFonts w:ascii="Times New Roman" w:hAnsi="Times New Roman" w:cs="Times New Roman"/>
                <w:color w:val="#000000"/>
                <w:sz w:val="24"/>
                <w:szCs w:val="24"/>
              </w:rPr>
              <w:t> Контуры функционального управления</w:t>
            </w:r>
          </w:p>
          <w:p>
            <w:pPr>
              <w:jc w:val="both"/>
              <w:spacing w:after="0" w:line="240" w:lineRule="auto"/>
              <w:rPr>
                <w:sz w:val="24"/>
                <w:szCs w:val="24"/>
              </w:rPr>
            </w:pPr>
            <w:r>
              <w:rPr>
                <w:rFonts w:ascii="Times New Roman" w:hAnsi="Times New Roman" w:cs="Times New Roman"/>
                <w:color w:val="#000000"/>
                <w:sz w:val="24"/>
                <w:szCs w:val="24"/>
              </w:rPr>
              <w:t> Стандарты управления предприятием: MRP, CRP, MRP II</w:t>
            </w:r>
          </w:p>
          <w:p>
            <w:pPr>
              <w:jc w:val="both"/>
              <w:spacing w:after="0" w:line="240" w:lineRule="auto"/>
              <w:rPr>
                <w:sz w:val="24"/>
                <w:szCs w:val="24"/>
              </w:rPr>
            </w:pPr>
            <w:r>
              <w:rPr>
                <w:rFonts w:ascii="Times New Roman" w:hAnsi="Times New Roman" w:cs="Times New Roman"/>
                <w:color w:val="#000000"/>
                <w:sz w:val="24"/>
                <w:szCs w:val="24"/>
              </w:rPr>
              <w:t> Концепция ERP, ERP II</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корпоративного типа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Корпоративные вычислительные ресурсы и платформы.</w:t>
            </w:r>
          </w:p>
          <w:p>
            <w:pPr>
              <w:jc w:val="both"/>
              <w:spacing w:after="0" w:line="240" w:lineRule="auto"/>
              <w:rPr>
                <w:sz w:val="24"/>
                <w:szCs w:val="24"/>
              </w:rPr>
            </w:pPr>
            <w:r>
              <w:rPr>
                <w:rFonts w:ascii="Times New Roman" w:hAnsi="Times New Roman" w:cs="Times New Roman"/>
                <w:color w:val="#000000"/>
                <w:sz w:val="24"/>
                <w:szCs w:val="24"/>
              </w:rPr>
              <w:t> Центры обработки данных (ЦОД).</w:t>
            </w:r>
          </w:p>
          <w:p>
            <w:pPr>
              <w:jc w:val="both"/>
              <w:spacing w:after="0" w:line="240" w:lineRule="auto"/>
              <w:rPr>
                <w:sz w:val="24"/>
                <w:szCs w:val="24"/>
              </w:rPr>
            </w:pPr>
            <w:r>
              <w:rPr>
                <w:rFonts w:ascii="Times New Roman" w:hAnsi="Times New Roman" w:cs="Times New Roman"/>
                <w:color w:val="#000000"/>
                <w:sz w:val="24"/>
                <w:szCs w:val="24"/>
              </w:rPr>
              <w:t> Корпоративные информационные ресурсы (базы данных, хранилища данных)</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функциональности и классов приложения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Создание проекта моделирования программного приложения</w:t>
            </w:r>
          </w:p>
          <w:p>
            <w:pPr>
              <w:jc w:val="both"/>
              <w:spacing w:after="0" w:line="240" w:lineRule="auto"/>
              <w:rPr>
                <w:sz w:val="24"/>
                <w:szCs w:val="24"/>
              </w:rPr>
            </w:pPr>
            <w:r>
              <w:rPr>
                <w:rFonts w:ascii="Times New Roman" w:hAnsi="Times New Roman" w:cs="Times New Roman"/>
                <w:color w:val="#000000"/>
                <w:sz w:val="24"/>
                <w:szCs w:val="24"/>
              </w:rPr>
              <w:t> 2.	Схема классов UML</w:t>
            </w:r>
          </w:p>
          <w:p>
            <w:pPr>
              <w:jc w:val="both"/>
              <w:spacing w:after="0" w:line="240" w:lineRule="auto"/>
              <w:rPr>
                <w:sz w:val="24"/>
                <w:szCs w:val="24"/>
              </w:rPr>
            </w:pPr>
            <w:r>
              <w:rPr>
                <w:rFonts w:ascii="Times New Roman" w:hAnsi="Times New Roman" w:cs="Times New Roman"/>
                <w:color w:val="#000000"/>
                <w:sz w:val="24"/>
                <w:szCs w:val="24"/>
              </w:rPr>
              <w:t> 3.	Схема последовательностей UML</w:t>
            </w:r>
          </w:p>
          <w:p>
            <w:pPr>
              <w:jc w:val="both"/>
              <w:spacing w:after="0" w:line="240" w:lineRule="auto"/>
              <w:rPr>
                <w:sz w:val="24"/>
                <w:szCs w:val="24"/>
              </w:rPr>
            </w:pPr>
            <w:r>
              <w:rPr>
                <w:rFonts w:ascii="Times New Roman" w:hAnsi="Times New Roman" w:cs="Times New Roman"/>
                <w:color w:val="#000000"/>
                <w:sz w:val="24"/>
                <w:szCs w:val="24"/>
              </w:rPr>
              <w:t> 4.	Схема вариантов использования UML</w:t>
            </w:r>
          </w:p>
          <w:p>
            <w:pPr>
              <w:jc w:val="both"/>
              <w:spacing w:after="0" w:line="240" w:lineRule="auto"/>
              <w:rPr>
                <w:sz w:val="24"/>
                <w:szCs w:val="24"/>
              </w:rPr>
            </w:pPr>
            <w:r>
              <w:rPr>
                <w:rFonts w:ascii="Times New Roman" w:hAnsi="Times New Roman" w:cs="Times New Roman"/>
                <w:color w:val="#000000"/>
                <w:sz w:val="24"/>
                <w:szCs w:val="24"/>
              </w:rPr>
              <w:t> 5.	Схема активности UML</w:t>
            </w:r>
          </w:p>
          <w:p>
            <w:pPr>
              <w:jc w:val="both"/>
              <w:spacing w:after="0" w:line="240" w:lineRule="auto"/>
              <w:rPr>
                <w:sz w:val="24"/>
                <w:szCs w:val="24"/>
              </w:rPr>
            </w:pPr>
            <w:r>
              <w:rPr>
                <w:rFonts w:ascii="Times New Roman" w:hAnsi="Times New Roman" w:cs="Times New Roman"/>
                <w:color w:val="#000000"/>
                <w:sz w:val="24"/>
                <w:szCs w:val="24"/>
              </w:rPr>
              <w:t> 6.	Схема компонентов UML</w:t>
            </w:r>
          </w:p>
          <w:p>
            <w:pPr>
              <w:jc w:val="both"/>
              <w:spacing w:after="0" w:line="240" w:lineRule="auto"/>
              <w:rPr>
                <w:sz w:val="24"/>
                <w:szCs w:val="24"/>
              </w:rPr>
            </w:pPr>
            <w:r>
              <w:rPr>
                <w:rFonts w:ascii="Times New Roman" w:hAnsi="Times New Roman" w:cs="Times New Roman"/>
                <w:color w:val="#000000"/>
                <w:sz w:val="24"/>
                <w:szCs w:val="24"/>
              </w:rPr>
              <w:t> 7.	Схема слоев.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интерфейса пользователя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Раскадровка</w:t>
            </w:r>
          </w:p>
          <w:p>
            <w:pPr>
              <w:jc w:val="both"/>
              <w:spacing w:after="0" w:line="240" w:lineRule="auto"/>
              <w:rPr>
                <w:sz w:val="24"/>
                <w:szCs w:val="24"/>
              </w:rPr>
            </w:pPr>
            <w:r>
              <w:rPr>
                <w:rFonts w:ascii="Times New Roman" w:hAnsi="Times New Roman" w:cs="Times New Roman"/>
                <w:color w:val="#000000"/>
                <w:sz w:val="24"/>
                <w:szCs w:val="24"/>
              </w:rPr>
              <w:t> 2.	Презентация интерфейса</w:t>
            </w:r>
          </w:p>
          <w:p>
            <w:pPr>
              <w:jc w:val="both"/>
              <w:spacing w:after="0" w:line="240" w:lineRule="auto"/>
              <w:rPr>
                <w:sz w:val="24"/>
                <w:szCs w:val="24"/>
              </w:rPr>
            </w:pPr>
            <w:r>
              <w:rPr>
                <w:rFonts w:ascii="Times New Roman" w:hAnsi="Times New Roman" w:cs="Times New Roman"/>
                <w:color w:val="#000000"/>
                <w:sz w:val="24"/>
                <w:szCs w:val="24"/>
              </w:rPr>
              <w:t> 3.	Связываение раскадровки с рабочим элементом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Функциональная декомпозиция КИС</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Контуры функционального управления</w:t>
            </w:r>
          </w:p>
          <w:p>
            <w:pPr>
              <w:jc w:val="both"/>
              <w:spacing w:after="0" w:line="240" w:lineRule="auto"/>
              <w:rPr>
                <w:sz w:val="24"/>
                <w:szCs w:val="24"/>
              </w:rPr>
            </w:pPr>
            <w:r>
              <w:rPr>
                <w:rFonts w:ascii="Times New Roman" w:hAnsi="Times New Roman" w:cs="Times New Roman"/>
                <w:color w:val="#000000"/>
                <w:sz w:val="24"/>
                <w:szCs w:val="24"/>
              </w:rPr>
              <w:t> 2.	Стандарты управления предприятием: MRP, CRP, MRP II</w:t>
            </w:r>
          </w:p>
          <w:p>
            <w:pPr>
              <w:jc w:val="both"/>
              <w:spacing w:after="0" w:line="240" w:lineRule="auto"/>
              <w:rPr>
                <w:sz w:val="24"/>
                <w:szCs w:val="24"/>
              </w:rPr>
            </w:pPr>
            <w:r>
              <w:rPr>
                <w:rFonts w:ascii="Times New Roman" w:hAnsi="Times New Roman" w:cs="Times New Roman"/>
                <w:color w:val="#000000"/>
                <w:sz w:val="24"/>
                <w:szCs w:val="24"/>
              </w:rPr>
              <w:t> Концепция ERP, ERP II</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Проективные внедрения КИС в различных методологиях  (деловая игра)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игры. Имеется общая концепция проекта внедрения КИС. Имеется две группы аналитиков (А и В). Группа А пытается построить проект внедрения КИС на основе методо-логии компании Microsoft: «MSF». Группа В пытается построить проект внедрения ИС на основе методологии компании SAP: «Процедурная модель SAP».</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«Корпоративные информационные системы» / Червенчук И.В..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внедрением</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Грекул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Денищенко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Коровкина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внедрением</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978-5-4487-0148-1.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http://www.iprbookshop.ru/72342.html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требования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проектировании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Астапчук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Терещенко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https://urait.ru/bcode/425572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командной</w:t>
            </w:r>
            <w:r>
              <w:rPr/>
              <w:t xml:space="preserve"> </w:t>
            </w:r>
            <w:r>
              <w:rPr>
                <w:rFonts w:ascii="Times New Roman" w:hAnsi="Times New Roman" w:cs="Times New Roman"/>
                <w:color w:val="#000000"/>
                <w:sz w:val="24"/>
                <w:szCs w:val="24"/>
              </w:rPr>
              <w:t>разработки</w:t>
            </w:r>
            <w:r>
              <w:rPr/>
              <w:t xml:space="preserve"> </w:t>
            </w:r>
            <w:r>
              <w:rPr>
                <w:rFonts w:ascii="Times New Roman" w:hAnsi="Times New Roman" w:cs="Times New Roman"/>
                <w:color w:val="#000000"/>
                <w:sz w:val="24"/>
                <w:szCs w:val="24"/>
              </w:rPr>
              <w:t>программного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Долженко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командной</w:t>
            </w:r>
            <w:r>
              <w:rPr/>
              <w:t xml:space="preserve"> </w:t>
            </w:r>
            <w:r>
              <w:rPr>
                <w:rFonts w:ascii="Times New Roman" w:hAnsi="Times New Roman" w:cs="Times New Roman"/>
                <w:color w:val="#000000"/>
                <w:sz w:val="24"/>
                <w:szCs w:val="24"/>
              </w:rPr>
              <w:t>разработки</w:t>
            </w:r>
            <w:r>
              <w:rPr/>
              <w:t xml:space="preserve"> </w:t>
            </w:r>
            <w:r>
              <w:rPr>
                <w:rFonts w:ascii="Times New Roman" w:hAnsi="Times New Roman" w:cs="Times New Roman"/>
                <w:color w:val="#000000"/>
                <w:sz w:val="24"/>
                <w:szCs w:val="24"/>
              </w:rPr>
              <w:t>программного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978-5-4486-0525-3.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http://www.iprbookshop.ru/79723.html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производственной</w:t>
            </w:r>
            <w:r>
              <w:rPr/>
              <w:t xml:space="preserve"> </w:t>
            </w:r>
            <w:r>
              <w:rPr>
                <w:rFonts w:ascii="Times New Roman" w:hAnsi="Times New Roman" w:cs="Times New Roman"/>
                <w:color w:val="#000000"/>
                <w:sz w:val="24"/>
                <w:szCs w:val="24"/>
              </w:rPr>
              <w:t>компанией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Рыбников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https://urait.ru/bcode/399052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80.4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565.6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2024-2025_ФГОС3++2024_Бак-ЗФО-ПИ(24)_plx_Корпоративные информационные системы_11111111</dc:title>
  <dc:creator>FastReport.NET</dc:creator>
</cp:coreProperties>
</file>